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0D" w:rsidRDefault="00D1400D" w:rsidP="00D1400D">
      <w:pPr>
        <w:pStyle w:val="Heading1"/>
        <w:shd w:val="clear" w:color="auto" w:fill="FFFFFF"/>
        <w:spacing w:before="0" w:beforeAutospacing="0" w:after="0" w:afterAutospacing="0" w:line="480" w:lineRule="auto"/>
        <w:ind w:left="720" w:hanging="720"/>
        <w:jc w:val="center"/>
        <w:textAlignment w:val="baseline"/>
        <w:rPr>
          <w:b w:val="0"/>
          <w:sz w:val="24"/>
          <w:szCs w:val="21"/>
          <w:shd w:val="clear" w:color="auto" w:fill="FFFFFF"/>
        </w:rPr>
      </w:pPr>
      <w:bookmarkStart w:id="0" w:name="_GoBack"/>
      <w:r>
        <w:rPr>
          <w:b w:val="0"/>
          <w:sz w:val="24"/>
          <w:szCs w:val="21"/>
          <w:shd w:val="clear" w:color="auto" w:fill="FFFFFF"/>
        </w:rPr>
        <w:t>References</w:t>
      </w:r>
    </w:p>
    <w:p w:rsidR="00D1400D" w:rsidRDefault="00D1400D" w:rsidP="00B462BB">
      <w:pPr>
        <w:pStyle w:val="Heading1"/>
        <w:shd w:val="clear" w:color="auto" w:fill="FFFFFF"/>
        <w:spacing w:before="0" w:beforeAutospacing="0" w:after="0" w:afterAutospacing="0" w:line="480" w:lineRule="auto"/>
        <w:ind w:left="720" w:hanging="720"/>
        <w:textAlignment w:val="baseline"/>
        <w:rPr>
          <w:b w:val="0"/>
          <w:sz w:val="24"/>
          <w:szCs w:val="21"/>
          <w:shd w:val="clear" w:color="auto" w:fill="FFFFFF"/>
        </w:rPr>
      </w:pPr>
    </w:p>
    <w:p w:rsidR="008574B7" w:rsidRPr="008574B7" w:rsidRDefault="008574B7" w:rsidP="00B462BB">
      <w:pPr>
        <w:pStyle w:val="Heading1"/>
        <w:shd w:val="clear" w:color="auto" w:fill="FFFFFF"/>
        <w:spacing w:before="0" w:beforeAutospacing="0" w:after="0" w:afterAutospacing="0" w:line="480" w:lineRule="auto"/>
        <w:ind w:left="720" w:hanging="720"/>
        <w:textAlignment w:val="baseline"/>
        <w:rPr>
          <w:b w:val="0"/>
          <w:sz w:val="24"/>
          <w:szCs w:val="21"/>
          <w:shd w:val="clear" w:color="auto" w:fill="FFFFFF"/>
        </w:rPr>
      </w:pPr>
      <w:proofErr w:type="gramStart"/>
      <w:r>
        <w:rPr>
          <w:b w:val="0"/>
          <w:sz w:val="24"/>
          <w:szCs w:val="21"/>
          <w:shd w:val="clear" w:color="auto" w:fill="FFFFFF"/>
        </w:rPr>
        <w:t>Arizona Department of Education.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</w:t>
      </w:r>
      <w:proofErr w:type="gramStart"/>
      <w:r>
        <w:rPr>
          <w:b w:val="0"/>
          <w:sz w:val="24"/>
          <w:szCs w:val="21"/>
          <w:shd w:val="clear" w:color="auto" w:fill="FFFFFF"/>
        </w:rPr>
        <w:t xml:space="preserve">(2016). </w:t>
      </w:r>
      <w:proofErr w:type="spellStart"/>
      <w:r>
        <w:rPr>
          <w:b w:val="0"/>
          <w:i/>
          <w:sz w:val="24"/>
          <w:szCs w:val="21"/>
          <w:shd w:val="clear" w:color="auto" w:fill="FFFFFF"/>
        </w:rPr>
        <w:t>AzMERIT</w:t>
      </w:r>
      <w:proofErr w:type="spellEnd"/>
      <w:r>
        <w:rPr>
          <w:b w:val="0"/>
          <w:sz w:val="24"/>
          <w:szCs w:val="21"/>
          <w:shd w:val="clear" w:color="auto" w:fill="FFFFFF"/>
        </w:rPr>
        <w:t>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Retrieved from </w:t>
      </w:r>
      <w:r w:rsidRPr="008574B7">
        <w:rPr>
          <w:b w:val="0"/>
          <w:sz w:val="24"/>
          <w:szCs w:val="21"/>
          <w:shd w:val="clear" w:color="auto" w:fill="FFFFFF"/>
        </w:rPr>
        <w:t>http://www.azed.gov/assessment/azmerit/</w:t>
      </w:r>
    </w:p>
    <w:p w:rsidR="0026140C" w:rsidRDefault="0026140C" w:rsidP="00B462BB">
      <w:pPr>
        <w:pStyle w:val="Heading1"/>
        <w:shd w:val="clear" w:color="auto" w:fill="FFFFFF"/>
        <w:spacing w:before="0" w:beforeAutospacing="0" w:after="0" w:afterAutospacing="0" w:line="480" w:lineRule="auto"/>
        <w:ind w:left="720" w:hanging="720"/>
        <w:textAlignment w:val="baseline"/>
        <w:rPr>
          <w:b w:val="0"/>
          <w:sz w:val="24"/>
          <w:szCs w:val="21"/>
          <w:shd w:val="clear" w:color="auto" w:fill="FFFFFF"/>
        </w:rPr>
      </w:pPr>
      <w:r>
        <w:rPr>
          <w:b w:val="0"/>
          <w:sz w:val="24"/>
          <w:szCs w:val="21"/>
          <w:shd w:val="clear" w:color="auto" w:fill="FFFFFF"/>
        </w:rPr>
        <w:t xml:space="preserve">Bingham, P. (2013). </w:t>
      </w:r>
      <w:proofErr w:type="gramStart"/>
      <w:r w:rsidRPr="0026140C">
        <w:rPr>
          <w:b w:val="0"/>
          <w:i/>
          <w:sz w:val="24"/>
          <w:szCs w:val="21"/>
          <w:shd w:val="clear" w:color="auto" w:fill="FFFFFF"/>
        </w:rPr>
        <w:t>Formative and summative assessments unit 3</w:t>
      </w:r>
      <w:r>
        <w:rPr>
          <w:b w:val="0"/>
          <w:sz w:val="24"/>
          <w:szCs w:val="21"/>
          <w:shd w:val="clear" w:color="auto" w:fill="FFFFFF"/>
        </w:rPr>
        <w:t>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Retrieved from </w:t>
      </w:r>
      <w:r w:rsidRPr="0026140C">
        <w:rPr>
          <w:b w:val="0"/>
          <w:sz w:val="24"/>
          <w:szCs w:val="21"/>
          <w:shd w:val="clear" w:color="auto" w:fill="FFFFFF"/>
        </w:rPr>
        <w:t>http://www.slideshare.net/pbingham1/formative-and-summative-assessments-unit-3-revised-without-references</w:t>
      </w:r>
    </w:p>
    <w:p w:rsidR="00F51FC1" w:rsidRPr="00F51FC1" w:rsidRDefault="00F51FC1" w:rsidP="00B462BB">
      <w:pPr>
        <w:pStyle w:val="Heading1"/>
        <w:shd w:val="clear" w:color="auto" w:fill="FFFFFF"/>
        <w:spacing w:before="0" w:beforeAutospacing="0" w:after="0" w:afterAutospacing="0" w:line="480" w:lineRule="auto"/>
        <w:ind w:left="720" w:hanging="720"/>
        <w:textAlignment w:val="baseline"/>
        <w:rPr>
          <w:b w:val="0"/>
          <w:sz w:val="24"/>
          <w:szCs w:val="21"/>
          <w:shd w:val="clear" w:color="auto" w:fill="FFFFFF"/>
        </w:rPr>
      </w:pPr>
      <w:proofErr w:type="gramStart"/>
      <w:r>
        <w:rPr>
          <w:b w:val="0"/>
          <w:sz w:val="24"/>
          <w:szCs w:val="21"/>
          <w:shd w:val="clear" w:color="auto" w:fill="FFFFFF"/>
        </w:rPr>
        <w:t>Bowman, B. (2010).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</w:t>
      </w:r>
      <w:r>
        <w:rPr>
          <w:b w:val="0"/>
          <w:i/>
          <w:sz w:val="24"/>
          <w:szCs w:val="21"/>
          <w:shd w:val="clear" w:color="auto" w:fill="FFFFFF"/>
        </w:rPr>
        <w:t>P</w:t>
      </w:r>
      <w:r w:rsidRPr="00F51FC1">
        <w:rPr>
          <w:b w:val="0"/>
          <w:i/>
          <w:sz w:val="24"/>
          <w:szCs w:val="21"/>
          <w:shd w:val="clear" w:color="auto" w:fill="FFFFFF"/>
        </w:rPr>
        <w:t>eer assessment: can and s</w:t>
      </w:r>
      <w:r>
        <w:rPr>
          <w:b w:val="0"/>
          <w:i/>
          <w:sz w:val="24"/>
          <w:szCs w:val="21"/>
          <w:shd w:val="clear" w:color="auto" w:fill="FFFFFF"/>
        </w:rPr>
        <w:t>hould students grade each other</w:t>
      </w:r>
      <w:proofErr w:type="gramStart"/>
      <w:r>
        <w:rPr>
          <w:b w:val="0"/>
          <w:i/>
          <w:sz w:val="24"/>
          <w:szCs w:val="21"/>
          <w:shd w:val="clear" w:color="auto" w:fill="FFFFFF"/>
        </w:rPr>
        <w:t>?</w:t>
      </w:r>
      <w:r>
        <w:rPr>
          <w:b w:val="0"/>
          <w:sz w:val="24"/>
          <w:szCs w:val="21"/>
          <w:shd w:val="clear" w:color="auto" w:fill="FFFFFF"/>
        </w:rPr>
        <w:t>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Retrieved from </w:t>
      </w:r>
      <w:r w:rsidRPr="00F51FC1">
        <w:rPr>
          <w:b w:val="0"/>
          <w:sz w:val="24"/>
          <w:szCs w:val="21"/>
          <w:shd w:val="clear" w:color="auto" w:fill="FFFFFF"/>
        </w:rPr>
        <w:t>https://en.wikibooks.org/wiki/Foundations_of_Education_and_Instructional_Assessment/Involving_Students/Peer_Assessment</w:t>
      </w:r>
    </w:p>
    <w:p w:rsidR="00282D8A" w:rsidRPr="00282D8A" w:rsidRDefault="00282D8A" w:rsidP="00B462BB">
      <w:pPr>
        <w:pStyle w:val="Heading1"/>
        <w:shd w:val="clear" w:color="auto" w:fill="FFFFFF"/>
        <w:spacing w:before="0" w:beforeAutospacing="0" w:after="0" w:afterAutospacing="0" w:line="480" w:lineRule="auto"/>
        <w:ind w:left="720" w:hanging="720"/>
        <w:textAlignment w:val="baseline"/>
        <w:rPr>
          <w:b w:val="0"/>
          <w:sz w:val="24"/>
          <w:szCs w:val="21"/>
          <w:shd w:val="clear" w:color="auto" w:fill="FFFFFF"/>
        </w:rPr>
      </w:pPr>
      <w:proofErr w:type="gramStart"/>
      <w:r>
        <w:rPr>
          <w:b w:val="0"/>
          <w:sz w:val="24"/>
          <w:szCs w:val="21"/>
          <w:shd w:val="clear" w:color="auto" w:fill="FFFFFF"/>
        </w:rPr>
        <w:t>Concordia University.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(2016). </w:t>
      </w:r>
      <w:r>
        <w:rPr>
          <w:b w:val="0"/>
          <w:i/>
          <w:sz w:val="24"/>
          <w:szCs w:val="21"/>
          <w:shd w:val="clear" w:color="auto" w:fill="FFFFFF"/>
        </w:rPr>
        <w:t>Summative assessments: What teachers need to know</w:t>
      </w:r>
      <w:r>
        <w:rPr>
          <w:b w:val="0"/>
          <w:sz w:val="24"/>
          <w:szCs w:val="21"/>
          <w:shd w:val="clear" w:color="auto" w:fill="FFFFFF"/>
        </w:rPr>
        <w:t xml:space="preserve">. Retrieved from </w:t>
      </w:r>
      <w:r w:rsidRPr="00282D8A">
        <w:rPr>
          <w:b w:val="0"/>
          <w:sz w:val="24"/>
          <w:szCs w:val="21"/>
          <w:shd w:val="clear" w:color="auto" w:fill="FFFFFF"/>
        </w:rPr>
        <w:t>http://education.cu-portland.edu/blog/teaching-strategies/summative-assessment-what-teachers-need-to-know/</w:t>
      </w:r>
    </w:p>
    <w:p w:rsidR="008A5EDE" w:rsidRDefault="008A5EDE" w:rsidP="00B462BB">
      <w:pPr>
        <w:pStyle w:val="Heading1"/>
        <w:shd w:val="clear" w:color="auto" w:fill="FFFFFF"/>
        <w:spacing w:before="0" w:beforeAutospacing="0" w:after="0" w:afterAutospacing="0" w:line="480" w:lineRule="auto"/>
        <w:ind w:left="720" w:hanging="720"/>
        <w:textAlignment w:val="baseline"/>
        <w:rPr>
          <w:b w:val="0"/>
          <w:sz w:val="24"/>
          <w:szCs w:val="21"/>
          <w:shd w:val="clear" w:color="auto" w:fill="FFFFFF"/>
        </w:rPr>
      </w:pPr>
      <w:proofErr w:type="spellStart"/>
      <w:proofErr w:type="gramStart"/>
      <w:r>
        <w:rPr>
          <w:b w:val="0"/>
          <w:sz w:val="24"/>
          <w:szCs w:val="21"/>
          <w:shd w:val="clear" w:color="auto" w:fill="FFFFFF"/>
        </w:rPr>
        <w:t>Doods</w:t>
      </w:r>
      <w:proofErr w:type="spellEnd"/>
      <w:r>
        <w:rPr>
          <w:b w:val="0"/>
          <w:sz w:val="24"/>
          <w:szCs w:val="21"/>
          <w:shd w:val="clear" w:color="auto" w:fill="FFFFFF"/>
        </w:rPr>
        <w:t>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(2016). </w:t>
      </w:r>
      <w:r w:rsidR="00246E5C">
        <w:rPr>
          <w:b w:val="0"/>
          <w:i/>
          <w:sz w:val="24"/>
          <w:szCs w:val="21"/>
          <w:shd w:val="clear" w:color="auto" w:fill="FFFFFF"/>
        </w:rPr>
        <w:t>S</w:t>
      </w:r>
      <w:r w:rsidR="00246E5C" w:rsidRPr="00246E5C">
        <w:rPr>
          <w:b w:val="0"/>
          <w:i/>
          <w:sz w:val="24"/>
          <w:szCs w:val="21"/>
          <w:shd w:val="clear" w:color="auto" w:fill="FFFFFF"/>
        </w:rPr>
        <w:t>elf-assessment definition, pros and cons</w:t>
      </w:r>
      <w:r w:rsidR="00246E5C">
        <w:rPr>
          <w:b w:val="0"/>
          <w:sz w:val="24"/>
          <w:szCs w:val="21"/>
          <w:shd w:val="clear" w:color="auto" w:fill="FFFFFF"/>
        </w:rPr>
        <w:t xml:space="preserve">. Retrieved from </w:t>
      </w:r>
      <w:r w:rsidR="00246E5C" w:rsidRPr="00246E5C">
        <w:rPr>
          <w:b w:val="0"/>
          <w:sz w:val="24"/>
          <w:szCs w:val="21"/>
          <w:shd w:val="clear" w:color="auto" w:fill="FFFFFF"/>
        </w:rPr>
        <w:t>https://doodsrataceds113.wordpress.com/notes/self-assessment-definition-pros-and-cons/</w:t>
      </w:r>
    </w:p>
    <w:p w:rsidR="00E83868" w:rsidRPr="00E83868" w:rsidRDefault="00E83868" w:rsidP="00B462BB">
      <w:pPr>
        <w:pStyle w:val="Heading1"/>
        <w:shd w:val="clear" w:color="auto" w:fill="FFFFFF"/>
        <w:spacing w:before="0" w:beforeAutospacing="0" w:after="0" w:afterAutospacing="0" w:line="480" w:lineRule="auto"/>
        <w:ind w:left="720" w:hanging="720"/>
        <w:textAlignment w:val="baseline"/>
        <w:rPr>
          <w:b w:val="0"/>
          <w:sz w:val="24"/>
          <w:szCs w:val="21"/>
          <w:shd w:val="clear" w:color="auto" w:fill="FFFFFF"/>
        </w:rPr>
      </w:pPr>
      <w:proofErr w:type="spellStart"/>
      <w:r>
        <w:rPr>
          <w:b w:val="0"/>
          <w:sz w:val="24"/>
          <w:szCs w:val="21"/>
          <w:shd w:val="clear" w:color="auto" w:fill="FFFFFF"/>
        </w:rPr>
        <w:t>Dorvil</w:t>
      </w:r>
      <w:proofErr w:type="spellEnd"/>
      <w:r>
        <w:rPr>
          <w:b w:val="0"/>
          <w:sz w:val="24"/>
          <w:szCs w:val="21"/>
          <w:shd w:val="clear" w:color="auto" w:fill="FFFFFF"/>
        </w:rPr>
        <w:t xml:space="preserve">, A. (2014). </w:t>
      </w:r>
      <w:proofErr w:type="gramStart"/>
      <w:r w:rsidRPr="00E83868">
        <w:rPr>
          <w:b w:val="0"/>
          <w:i/>
          <w:sz w:val="24"/>
          <w:szCs w:val="21"/>
          <w:shd w:val="clear" w:color="auto" w:fill="FFFFFF"/>
        </w:rPr>
        <w:t>Pros and Cons of Authentic Assessment and Standardized Testing</w:t>
      </w:r>
      <w:r>
        <w:rPr>
          <w:b w:val="0"/>
          <w:sz w:val="24"/>
          <w:szCs w:val="21"/>
          <w:shd w:val="clear" w:color="auto" w:fill="FFFFFF"/>
        </w:rPr>
        <w:t>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Retrieved from </w:t>
      </w:r>
      <w:r w:rsidRPr="00E83868">
        <w:rPr>
          <w:b w:val="0"/>
          <w:sz w:val="24"/>
          <w:szCs w:val="21"/>
          <w:shd w:val="clear" w:color="auto" w:fill="FFFFFF"/>
        </w:rPr>
        <w:t>https://prezi.com/krvztfzwdc5t/pros-and-cons-of-authentic-assessment-and-standardized-testi/</w:t>
      </w:r>
    </w:p>
    <w:p w:rsidR="00B462BB" w:rsidRPr="00B462BB" w:rsidRDefault="00B462BB" w:rsidP="00B462BB">
      <w:pPr>
        <w:pStyle w:val="Heading1"/>
        <w:shd w:val="clear" w:color="auto" w:fill="FFFFFF"/>
        <w:spacing w:before="0" w:beforeAutospacing="0" w:after="0" w:afterAutospacing="0" w:line="480" w:lineRule="auto"/>
        <w:ind w:left="720" w:hanging="720"/>
        <w:textAlignment w:val="baseline"/>
        <w:rPr>
          <w:rFonts w:ascii="Helvetica" w:hAnsi="Helvetica" w:cs="Helvetica"/>
          <w:b w:val="0"/>
          <w:bCs w:val="0"/>
          <w:color w:val="990000"/>
          <w:sz w:val="27"/>
          <w:szCs w:val="27"/>
        </w:rPr>
      </w:pPr>
      <w:proofErr w:type="spellStart"/>
      <w:proofErr w:type="gramStart"/>
      <w:r>
        <w:rPr>
          <w:b w:val="0"/>
          <w:sz w:val="24"/>
          <w:szCs w:val="21"/>
          <w:shd w:val="clear" w:color="auto" w:fill="FFFFFF"/>
        </w:rPr>
        <w:t>Eberly</w:t>
      </w:r>
      <w:proofErr w:type="spellEnd"/>
      <w:r>
        <w:rPr>
          <w:b w:val="0"/>
          <w:sz w:val="24"/>
          <w:szCs w:val="21"/>
          <w:shd w:val="clear" w:color="auto" w:fill="FFFFFF"/>
        </w:rPr>
        <w:t xml:space="preserve"> Center.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(2015). </w:t>
      </w:r>
      <w:r w:rsidRPr="00B462BB">
        <w:rPr>
          <w:b w:val="0"/>
          <w:i/>
          <w:sz w:val="24"/>
          <w:szCs w:val="24"/>
        </w:rPr>
        <w:t>What is the difference between for</w:t>
      </w:r>
      <w:r>
        <w:rPr>
          <w:b w:val="0"/>
          <w:i/>
          <w:sz w:val="24"/>
          <w:szCs w:val="24"/>
        </w:rPr>
        <w:t xml:space="preserve">mative and summative </w:t>
      </w:r>
      <w:r w:rsidR="00282D8A">
        <w:rPr>
          <w:b w:val="0"/>
          <w:i/>
          <w:sz w:val="24"/>
          <w:szCs w:val="24"/>
        </w:rPr>
        <w:t>assessment</w:t>
      </w:r>
      <w:proofErr w:type="gramStart"/>
      <w:r w:rsidR="00282D8A">
        <w:rPr>
          <w:b w:val="0"/>
          <w:i/>
          <w:sz w:val="24"/>
          <w:szCs w:val="24"/>
        </w:rPr>
        <w:t>?.</w:t>
      </w:r>
      <w:proofErr w:type="gramEnd"/>
      <w:r>
        <w:rPr>
          <w:b w:val="0"/>
          <w:sz w:val="24"/>
          <w:szCs w:val="24"/>
        </w:rPr>
        <w:t xml:space="preserve"> Retrieved from </w:t>
      </w:r>
      <w:r w:rsidRPr="00B462BB">
        <w:rPr>
          <w:b w:val="0"/>
          <w:sz w:val="24"/>
          <w:szCs w:val="24"/>
        </w:rPr>
        <w:t>https://www.cmu.edu/teaching/assessment/basics/formative-summative.html</w:t>
      </w:r>
    </w:p>
    <w:p w:rsidR="00D96F5A" w:rsidRPr="00D96F5A" w:rsidRDefault="00D96F5A" w:rsidP="00B462BB">
      <w:pPr>
        <w:pStyle w:val="Heading1"/>
        <w:pBdr>
          <w:bottom w:val="single" w:sz="6" w:space="31" w:color="DDDDDD"/>
        </w:pBdr>
        <w:spacing w:before="0" w:beforeAutospacing="0" w:after="0" w:afterAutospacing="0" w:line="480" w:lineRule="auto"/>
        <w:ind w:left="720" w:hanging="720"/>
        <w:rPr>
          <w:b w:val="0"/>
          <w:sz w:val="24"/>
          <w:szCs w:val="21"/>
          <w:shd w:val="clear" w:color="auto" w:fill="FFFFFF"/>
        </w:rPr>
      </w:pPr>
      <w:proofErr w:type="gramStart"/>
      <w:r>
        <w:rPr>
          <w:b w:val="0"/>
          <w:sz w:val="24"/>
          <w:szCs w:val="21"/>
          <w:shd w:val="clear" w:color="auto" w:fill="FFFFFF"/>
        </w:rPr>
        <w:lastRenderedPageBreak/>
        <w:t>Glossary of Education Reform.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(2014). </w:t>
      </w:r>
      <w:r>
        <w:rPr>
          <w:b w:val="0"/>
          <w:i/>
          <w:sz w:val="24"/>
          <w:szCs w:val="21"/>
          <w:shd w:val="clear" w:color="auto" w:fill="FFFFFF"/>
        </w:rPr>
        <w:t>High stakes test</w:t>
      </w:r>
      <w:r>
        <w:rPr>
          <w:b w:val="0"/>
          <w:sz w:val="24"/>
          <w:szCs w:val="21"/>
          <w:shd w:val="clear" w:color="auto" w:fill="FFFFFF"/>
        </w:rPr>
        <w:t xml:space="preserve">. Retrieved from </w:t>
      </w:r>
      <w:r w:rsidRPr="00D96F5A">
        <w:rPr>
          <w:b w:val="0"/>
          <w:sz w:val="24"/>
          <w:szCs w:val="21"/>
          <w:shd w:val="clear" w:color="auto" w:fill="FFFFFF"/>
        </w:rPr>
        <w:t>http://edglossary.org/high-stakes-testing/</w:t>
      </w:r>
    </w:p>
    <w:p w:rsidR="00EF31DD" w:rsidRDefault="00EF31DD" w:rsidP="00B462BB">
      <w:pPr>
        <w:pStyle w:val="Heading1"/>
        <w:pBdr>
          <w:bottom w:val="single" w:sz="6" w:space="31" w:color="DDDDDD"/>
        </w:pBdr>
        <w:spacing w:before="0" w:beforeAutospacing="0" w:after="0" w:afterAutospacing="0" w:line="480" w:lineRule="auto"/>
        <w:ind w:left="720" w:hanging="720"/>
        <w:rPr>
          <w:b w:val="0"/>
          <w:sz w:val="24"/>
          <w:szCs w:val="21"/>
          <w:shd w:val="clear" w:color="auto" w:fill="FFFFFF"/>
        </w:rPr>
      </w:pPr>
      <w:r>
        <w:rPr>
          <w:b w:val="0"/>
          <w:sz w:val="24"/>
          <w:szCs w:val="21"/>
          <w:shd w:val="clear" w:color="auto" w:fill="FFFFFF"/>
        </w:rPr>
        <w:t xml:space="preserve">Hilliard, P. (2015). </w:t>
      </w:r>
      <w:r w:rsidRPr="00EF31DD">
        <w:rPr>
          <w:b w:val="0"/>
          <w:i/>
          <w:sz w:val="24"/>
          <w:szCs w:val="21"/>
          <w:shd w:val="clear" w:color="auto" w:fill="FFFFFF"/>
        </w:rPr>
        <w:t>Performance-based assessment: reviewing the basics</w:t>
      </w:r>
      <w:r>
        <w:rPr>
          <w:b w:val="0"/>
          <w:sz w:val="24"/>
          <w:szCs w:val="21"/>
          <w:shd w:val="clear" w:color="auto" w:fill="FFFFFF"/>
        </w:rPr>
        <w:t xml:space="preserve">. Retrieved from </w:t>
      </w:r>
      <w:r w:rsidRPr="00EF31DD">
        <w:rPr>
          <w:b w:val="0"/>
          <w:sz w:val="24"/>
          <w:szCs w:val="21"/>
          <w:shd w:val="clear" w:color="auto" w:fill="FFFFFF"/>
        </w:rPr>
        <w:t>https://www.edutopia.org/blog/performance-based-assessment-reviewing-basics-patricia-hilliard</w:t>
      </w:r>
    </w:p>
    <w:p w:rsidR="00B462BB" w:rsidRP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0" w:afterAutospacing="0" w:line="480" w:lineRule="auto"/>
        <w:ind w:left="720" w:hanging="72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1"/>
          <w:shd w:val="clear" w:color="auto" w:fill="FFFFFF"/>
        </w:rPr>
        <w:t>PLB.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</w:t>
      </w:r>
      <w:proofErr w:type="gramStart"/>
      <w:r>
        <w:rPr>
          <w:b w:val="0"/>
          <w:sz w:val="24"/>
          <w:szCs w:val="21"/>
          <w:shd w:val="clear" w:color="auto" w:fill="FFFFFF"/>
        </w:rPr>
        <w:t xml:space="preserve">(2011). </w:t>
      </w:r>
      <w:r w:rsidRPr="00B462BB">
        <w:rPr>
          <w:b w:val="0"/>
          <w:i/>
          <w:sz w:val="24"/>
          <w:szCs w:val="24"/>
        </w:rPr>
        <w:t>Benefits of Formative Assessment in the Classroom</w:t>
      </w:r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Retrieved from </w:t>
      </w:r>
      <w:r w:rsidRPr="00B462BB">
        <w:rPr>
          <w:b w:val="0"/>
          <w:sz w:val="24"/>
          <w:szCs w:val="24"/>
        </w:rPr>
        <w:t>http://k12teacherstaffdevelopment.com/tlb/benefits-of-formative-assessment-in-the-classroom/</w:t>
      </w:r>
    </w:p>
    <w:p w:rsidR="008A5EDE" w:rsidRPr="008A5EDE" w:rsidRDefault="008A5EDE" w:rsidP="008A5EDE">
      <w:pPr>
        <w:pStyle w:val="Heading1"/>
        <w:pBdr>
          <w:bottom w:val="single" w:sz="6" w:space="31" w:color="DDDDDD"/>
        </w:pBdr>
        <w:spacing w:after="0" w:line="480" w:lineRule="auto"/>
        <w:ind w:left="720" w:hanging="720"/>
        <w:rPr>
          <w:b w:val="0"/>
          <w:sz w:val="24"/>
          <w:szCs w:val="21"/>
          <w:shd w:val="clear" w:color="auto" w:fill="FFFFFF"/>
        </w:rPr>
      </w:pPr>
      <w:proofErr w:type="gramStart"/>
      <w:r>
        <w:rPr>
          <w:b w:val="0"/>
          <w:sz w:val="24"/>
          <w:szCs w:val="21"/>
          <w:shd w:val="clear" w:color="auto" w:fill="FFFFFF"/>
        </w:rPr>
        <w:t>McMillan, J. H. &amp; Hearn, J. (2008).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</w:t>
      </w:r>
      <w:r w:rsidRPr="008A5EDE">
        <w:rPr>
          <w:b w:val="0"/>
          <w:i/>
          <w:sz w:val="24"/>
          <w:szCs w:val="21"/>
          <w:shd w:val="clear" w:color="auto" w:fill="FFFFFF"/>
        </w:rPr>
        <w:t xml:space="preserve">Student </w:t>
      </w:r>
      <w:r w:rsidRPr="008A5EDE">
        <w:rPr>
          <w:b w:val="0"/>
          <w:i/>
          <w:sz w:val="24"/>
          <w:szCs w:val="21"/>
          <w:shd w:val="clear" w:color="auto" w:fill="FFFFFF"/>
        </w:rPr>
        <w:t>self-assessment: the key to stronger student motivation and higher achievement</w:t>
      </w:r>
      <w:r>
        <w:rPr>
          <w:b w:val="0"/>
          <w:sz w:val="24"/>
          <w:szCs w:val="21"/>
          <w:shd w:val="clear" w:color="auto" w:fill="FFFFFF"/>
        </w:rPr>
        <w:t xml:space="preserve">. Retrieved from </w:t>
      </w:r>
      <w:r w:rsidRPr="008A5EDE">
        <w:rPr>
          <w:b w:val="0"/>
          <w:sz w:val="24"/>
          <w:szCs w:val="21"/>
          <w:shd w:val="clear" w:color="auto" w:fill="FFFFFF"/>
        </w:rPr>
        <w:t>http://files.eric.ed.gov/fulltext/EJ815370.pdf</w:t>
      </w:r>
    </w:p>
    <w:p w:rsidR="00055AF9" w:rsidRDefault="00055AF9" w:rsidP="00B462BB">
      <w:pPr>
        <w:pStyle w:val="Heading1"/>
        <w:pBdr>
          <w:bottom w:val="single" w:sz="6" w:space="31" w:color="DDDDDD"/>
        </w:pBdr>
        <w:spacing w:before="0" w:beforeAutospacing="0" w:after="0" w:afterAutospacing="0" w:line="480" w:lineRule="auto"/>
        <w:ind w:left="720" w:hanging="720"/>
        <w:rPr>
          <w:b w:val="0"/>
          <w:sz w:val="24"/>
          <w:szCs w:val="21"/>
          <w:shd w:val="clear" w:color="auto" w:fill="FFFFFF"/>
        </w:rPr>
      </w:pPr>
      <w:r>
        <w:rPr>
          <w:b w:val="0"/>
          <w:sz w:val="24"/>
          <w:szCs w:val="21"/>
          <w:shd w:val="clear" w:color="auto" w:fill="FFFFFF"/>
        </w:rPr>
        <w:t xml:space="preserve">Mueller, J. (2016). </w:t>
      </w:r>
      <w:r>
        <w:rPr>
          <w:b w:val="0"/>
          <w:i/>
          <w:sz w:val="24"/>
          <w:szCs w:val="21"/>
          <w:shd w:val="clear" w:color="auto" w:fill="FFFFFF"/>
        </w:rPr>
        <w:t xml:space="preserve">What is authentic </w:t>
      </w:r>
      <w:r w:rsidRPr="00055AF9">
        <w:rPr>
          <w:b w:val="0"/>
          <w:i/>
          <w:sz w:val="24"/>
          <w:szCs w:val="21"/>
          <w:shd w:val="clear" w:color="auto" w:fill="FFFFFF"/>
        </w:rPr>
        <w:t>assessment</w:t>
      </w:r>
      <w:proofErr w:type="gramStart"/>
      <w:r>
        <w:rPr>
          <w:b w:val="0"/>
          <w:i/>
          <w:sz w:val="24"/>
          <w:szCs w:val="21"/>
          <w:shd w:val="clear" w:color="auto" w:fill="FFFFFF"/>
        </w:rPr>
        <w:t>?</w:t>
      </w:r>
      <w:r>
        <w:rPr>
          <w:b w:val="0"/>
          <w:sz w:val="24"/>
          <w:szCs w:val="21"/>
          <w:shd w:val="clear" w:color="auto" w:fill="FFFFFF"/>
        </w:rPr>
        <w:t>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</w:t>
      </w:r>
      <w:r w:rsidRPr="00055AF9">
        <w:rPr>
          <w:b w:val="0"/>
          <w:sz w:val="24"/>
          <w:szCs w:val="21"/>
          <w:shd w:val="clear" w:color="auto" w:fill="FFFFFF"/>
        </w:rPr>
        <w:t>Retrieved</w:t>
      </w:r>
      <w:r>
        <w:rPr>
          <w:b w:val="0"/>
          <w:sz w:val="24"/>
          <w:szCs w:val="21"/>
          <w:shd w:val="clear" w:color="auto" w:fill="FFFFFF"/>
        </w:rPr>
        <w:t xml:space="preserve"> from </w:t>
      </w:r>
      <w:r w:rsidRPr="00055AF9">
        <w:rPr>
          <w:b w:val="0"/>
          <w:sz w:val="24"/>
          <w:szCs w:val="21"/>
          <w:shd w:val="clear" w:color="auto" w:fill="FFFFFF"/>
        </w:rPr>
        <w:t>http://jfmueller.faculty.noctrl.edu/toolbox/whatisit.htm</w:t>
      </w:r>
    </w:p>
    <w:p w:rsidR="008574B7" w:rsidRPr="008574B7" w:rsidRDefault="008574B7" w:rsidP="00B462BB">
      <w:pPr>
        <w:pStyle w:val="Heading1"/>
        <w:pBdr>
          <w:bottom w:val="single" w:sz="6" w:space="31" w:color="DDDDDD"/>
        </w:pBdr>
        <w:spacing w:before="0" w:beforeAutospacing="0" w:after="0" w:afterAutospacing="0" w:line="480" w:lineRule="auto"/>
        <w:ind w:left="720" w:hanging="720"/>
        <w:rPr>
          <w:b w:val="0"/>
          <w:sz w:val="24"/>
          <w:szCs w:val="21"/>
          <w:shd w:val="clear" w:color="auto" w:fill="FFFFFF"/>
        </w:rPr>
      </w:pPr>
      <w:r>
        <w:rPr>
          <w:b w:val="0"/>
          <w:sz w:val="24"/>
          <w:szCs w:val="21"/>
          <w:shd w:val="clear" w:color="auto" w:fill="FFFFFF"/>
        </w:rPr>
        <w:t xml:space="preserve">Munoz, R. (2014). </w:t>
      </w:r>
      <w:r>
        <w:rPr>
          <w:b w:val="0"/>
          <w:i/>
          <w:sz w:val="24"/>
          <w:szCs w:val="21"/>
          <w:shd w:val="clear" w:color="auto" w:fill="FFFFFF"/>
        </w:rPr>
        <w:t>High stakes testing pros and cons</w:t>
      </w:r>
      <w:r>
        <w:rPr>
          <w:b w:val="0"/>
          <w:sz w:val="24"/>
          <w:szCs w:val="21"/>
          <w:shd w:val="clear" w:color="auto" w:fill="FFFFFF"/>
        </w:rPr>
        <w:t xml:space="preserve">. Retrieved from </w:t>
      </w:r>
      <w:r w:rsidRPr="008574B7">
        <w:rPr>
          <w:b w:val="0"/>
          <w:sz w:val="24"/>
          <w:szCs w:val="21"/>
          <w:shd w:val="clear" w:color="auto" w:fill="FFFFFF"/>
        </w:rPr>
        <w:t>http://www.education.com/magazine/article/high-stakes-testing-pros-cons/</w:t>
      </w:r>
    </w:p>
    <w:p w:rsidR="00CA6B09" w:rsidRDefault="00CA6B09" w:rsidP="00B462BB">
      <w:pPr>
        <w:pStyle w:val="Heading1"/>
        <w:pBdr>
          <w:bottom w:val="single" w:sz="6" w:space="31" w:color="DDDDDD"/>
        </w:pBdr>
        <w:spacing w:before="0" w:beforeAutospacing="0" w:after="0" w:afterAutospacing="0" w:line="480" w:lineRule="auto"/>
        <w:ind w:left="720" w:hanging="720"/>
        <w:rPr>
          <w:b w:val="0"/>
          <w:sz w:val="24"/>
          <w:szCs w:val="21"/>
          <w:shd w:val="clear" w:color="auto" w:fill="FFFFFF"/>
        </w:rPr>
      </w:pPr>
      <w:proofErr w:type="gramStart"/>
      <w:r>
        <w:rPr>
          <w:b w:val="0"/>
          <w:sz w:val="24"/>
          <w:szCs w:val="21"/>
          <w:shd w:val="clear" w:color="auto" w:fill="FFFFFF"/>
        </w:rPr>
        <w:t>Ramirez, J. P. &amp; Godoy, L. F. (2012).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</w:t>
      </w:r>
      <w:proofErr w:type="gramStart"/>
      <w:r>
        <w:rPr>
          <w:b w:val="0"/>
          <w:i/>
          <w:sz w:val="24"/>
          <w:szCs w:val="21"/>
          <w:shd w:val="clear" w:color="auto" w:fill="FFFFFF"/>
        </w:rPr>
        <w:t>Performance-based assessment</w:t>
      </w:r>
      <w:r>
        <w:rPr>
          <w:b w:val="0"/>
          <w:sz w:val="24"/>
          <w:szCs w:val="21"/>
          <w:shd w:val="clear" w:color="auto" w:fill="FFFFFF"/>
        </w:rPr>
        <w:t>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Retrieved from </w:t>
      </w:r>
      <w:r w:rsidRPr="00CA6B09">
        <w:rPr>
          <w:b w:val="0"/>
          <w:sz w:val="24"/>
          <w:szCs w:val="21"/>
          <w:shd w:val="clear" w:color="auto" w:fill="FFFFFF"/>
        </w:rPr>
        <w:t>http://www.slideshare.net/luisagodoy444/performance-basedassessment-14678448</w:t>
      </w:r>
      <w:r>
        <w:rPr>
          <w:b w:val="0"/>
          <w:sz w:val="24"/>
          <w:szCs w:val="21"/>
          <w:shd w:val="clear" w:color="auto" w:fill="FFFFFF"/>
        </w:rPr>
        <w:t xml:space="preserve"> </w:t>
      </w:r>
    </w:p>
    <w:p w:rsidR="0088294E" w:rsidRPr="0088294E" w:rsidRDefault="0088294E" w:rsidP="00B462BB">
      <w:pPr>
        <w:pStyle w:val="Heading1"/>
        <w:pBdr>
          <w:bottom w:val="single" w:sz="6" w:space="31" w:color="DDDDDD"/>
        </w:pBdr>
        <w:spacing w:before="0" w:beforeAutospacing="0" w:after="0" w:afterAutospacing="0" w:line="480" w:lineRule="auto"/>
        <w:ind w:left="720" w:hanging="720"/>
        <w:rPr>
          <w:b w:val="0"/>
          <w:sz w:val="24"/>
          <w:szCs w:val="21"/>
          <w:shd w:val="clear" w:color="auto" w:fill="FFFFFF"/>
        </w:rPr>
      </w:pPr>
      <w:proofErr w:type="spellStart"/>
      <w:r>
        <w:rPr>
          <w:b w:val="0"/>
          <w:sz w:val="24"/>
          <w:szCs w:val="21"/>
          <w:shd w:val="clear" w:color="auto" w:fill="FFFFFF"/>
        </w:rPr>
        <w:t>Scherba</w:t>
      </w:r>
      <w:proofErr w:type="spellEnd"/>
      <w:r>
        <w:rPr>
          <w:b w:val="0"/>
          <w:sz w:val="24"/>
          <w:szCs w:val="21"/>
          <w:shd w:val="clear" w:color="auto" w:fill="FFFFFF"/>
        </w:rPr>
        <w:t xml:space="preserve">, J. (2002). </w:t>
      </w:r>
      <w:proofErr w:type="gramStart"/>
      <w:r>
        <w:rPr>
          <w:b w:val="0"/>
          <w:i/>
          <w:sz w:val="24"/>
          <w:szCs w:val="21"/>
          <w:shd w:val="clear" w:color="auto" w:fill="FFFFFF"/>
        </w:rPr>
        <w:t>Defining portfolio assessment</w:t>
      </w:r>
      <w:r>
        <w:rPr>
          <w:b w:val="0"/>
          <w:sz w:val="24"/>
          <w:szCs w:val="21"/>
          <w:shd w:val="clear" w:color="auto" w:fill="FFFFFF"/>
        </w:rPr>
        <w:t>.</w:t>
      </w:r>
      <w:proofErr w:type="gramEnd"/>
      <w:r>
        <w:rPr>
          <w:b w:val="0"/>
          <w:sz w:val="24"/>
          <w:szCs w:val="21"/>
          <w:shd w:val="clear" w:color="auto" w:fill="FFFFFF"/>
        </w:rPr>
        <w:t xml:space="preserve"> Retrieved from </w:t>
      </w:r>
      <w:r w:rsidRPr="0088294E">
        <w:rPr>
          <w:b w:val="0"/>
          <w:sz w:val="24"/>
          <w:szCs w:val="21"/>
          <w:shd w:val="clear" w:color="auto" w:fill="FFFFFF"/>
        </w:rPr>
        <w:t>http://www.unm.edu/~devalenz/handouts/portfolio.html</w:t>
      </w:r>
    </w:p>
    <w:p w:rsidR="00FF6840" w:rsidRDefault="00ED236D" w:rsidP="00B462BB">
      <w:pPr>
        <w:pStyle w:val="Heading1"/>
        <w:pBdr>
          <w:bottom w:val="single" w:sz="6" w:space="31" w:color="DDDDDD"/>
        </w:pBdr>
        <w:spacing w:before="0" w:beforeAutospacing="0" w:after="0" w:afterAutospacing="0" w:line="480" w:lineRule="auto"/>
        <w:ind w:left="720" w:hanging="720"/>
        <w:rPr>
          <w:b w:val="0"/>
          <w:sz w:val="24"/>
          <w:szCs w:val="24"/>
        </w:rPr>
      </w:pPr>
      <w:proofErr w:type="spellStart"/>
      <w:r w:rsidRPr="00ED236D">
        <w:rPr>
          <w:b w:val="0"/>
          <w:sz w:val="24"/>
          <w:szCs w:val="21"/>
          <w:shd w:val="clear" w:color="auto" w:fill="FFFFFF"/>
        </w:rPr>
        <w:lastRenderedPageBreak/>
        <w:t>Siedlecki</w:t>
      </w:r>
      <w:proofErr w:type="spellEnd"/>
      <w:r w:rsidRPr="00ED236D">
        <w:rPr>
          <w:b w:val="0"/>
          <w:sz w:val="24"/>
          <w:szCs w:val="21"/>
          <w:shd w:val="clear" w:color="auto" w:fill="FFFFFF"/>
        </w:rPr>
        <w:t xml:space="preserve">, J. (2012). </w:t>
      </w:r>
      <w:r w:rsidRPr="00ED236D">
        <w:rPr>
          <w:b w:val="0"/>
          <w:i/>
          <w:sz w:val="24"/>
          <w:szCs w:val="24"/>
        </w:rPr>
        <w:t>Education testing: Assessment OF learning versus assessment FOR learning</w:t>
      </w:r>
      <w:r>
        <w:rPr>
          <w:b w:val="0"/>
          <w:sz w:val="24"/>
          <w:szCs w:val="24"/>
        </w:rPr>
        <w:t xml:space="preserve">. </w:t>
      </w:r>
      <w:r w:rsidRPr="00ED236D">
        <w:rPr>
          <w:b w:val="0"/>
          <w:sz w:val="24"/>
          <w:szCs w:val="24"/>
        </w:rPr>
        <w:t xml:space="preserve">Retrieved from </w:t>
      </w:r>
      <w:r w:rsidR="0026140C" w:rsidRPr="00CA6B09">
        <w:rPr>
          <w:b w:val="0"/>
          <w:sz w:val="24"/>
          <w:szCs w:val="24"/>
        </w:rPr>
        <w:t>https://www.msdf.org/blog/2012/05/education-testing-assessment-of-learning-versus-assessment-for-learning/</w:t>
      </w:r>
    </w:p>
    <w:p w:rsidR="00EF277D" w:rsidRDefault="00EF277D" w:rsidP="00EF277D">
      <w:pPr>
        <w:pStyle w:val="Heading1"/>
        <w:pBdr>
          <w:bottom w:val="single" w:sz="6" w:space="31" w:color="DDDDDD"/>
        </w:pBdr>
        <w:spacing w:before="0" w:beforeAutospacing="0" w:after="0" w:afterAutospacing="0" w:line="480" w:lineRule="auto"/>
        <w:ind w:left="720" w:hanging="72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Smart Tutor.</w:t>
      </w:r>
      <w:proofErr w:type="gramEnd"/>
      <w:r>
        <w:rPr>
          <w:b w:val="0"/>
          <w:sz w:val="24"/>
          <w:szCs w:val="24"/>
        </w:rPr>
        <w:t xml:space="preserve"> (2013). </w:t>
      </w:r>
      <w:r>
        <w:rPr>
          <w:b w:val="0"/>
          <w:i/>
          <w:sz w:val="24"/>
          <w:szCs w:val="24"/>
        </w:rPr>
        <w:t>D</w:t>
      </w:r>
      <w:r w:rsidRPr="00EF277D">
        <w:rPr>
          <w:b w:val="0"/>
          <w:i/>
          <w:sz w:val="24"/>
          <w:szCs w:val="24"/>
        </w:rPr>
        <w:t>iagnostic, formative &amp; summative assessments – what’s the difference</w:t>
      </w:r>
      <w:proofErr w:type="gramStart"/>
      <w:r w:rsidRPr="00EF277D">
        <w:rPr>
          <w:b w:val="0"/>
          <w:i/>
          <w:sz w:val="24"/>
          <w:szCs w:val="24"/>
        </w:rPr>
        <w:t>?</w:t>
      </w:r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Retrieved from </w:t>
      </w:r>
      <w:r w:rsidRPr="00EF277D">
        <w:rPr>
          <w:b w:val="0"/>
          <w:sz w:val="24"/>
          <w:szCs w:val="24"/>
        </w:rPr>
        <w:t>http://thinkonline.smarttutor.com/diagnostic-formative-summative-assessments-whats-the-difference/</w:t>
      </w:r>
    </w:p>
    <w:p w:rsidR="0026140C" w:rsidRPr="0026140C" w:rsidRDefault="0026140C" w:rsidP="00B462BB">
      <w:pPr>
        <w:pStyle w:val="Heading1"/>
        <w:pBdr>
          <w:bottom w:val="single" w:sz="6" w:space="31" w:color="DDDDDD"/>
        </w:pBdr>
        <w:spacing w:before="0" w:beforeAutospacing="0" w:after="0" w:afterAutospacing="0" w:line="480" w:lineRule="auto"/>
        <w:ind w:left="720" w:hanging="72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Teaching Channel.</w:t>
      </w:r>
      <w:proofErr w:type="gramEnd"/>
      <w:r>
        <w:rPr>
          <w:b w:val="0"/>
          <w:sz w:val="24"/>
          <w:szCs w:val="24"/>
        </w:rPr>
        <w:t xml:space="preserve"> (2016). </w:t>
      </w:r>
      <w:r>
        <w:rPr>
          <w:b w:val="0"/>
          <w:i/>
          <w:sz w:val="24"/>
          <w:szCs w:val="24"/>
        </w:rPr>
        <w:t>Listening &amp;speaking: Formative assessment</w:t>
      </w:r>
      <w:r>
        <w:rPr>
          <w:b w:val="0"/>
          <w:sz w:val="24"/>
          <w:szCs w:val="24"/>
        </w:rPr>
        <w:t xml:space="preserve">. Retrieved from </w:t>
      </w:r>
      <w:r w:rsidRPr="0026140C">
        <w:rPr>
          <w:b w:val="0"/>
          <w:sz w:val="24"/>
          <w:szCs w:val="24"/>
        </w:rPr>
        <w:t>https://www.teachingchannel.org/videos/assess-listening-speaking-skills-ousd#video-sidebar_tab_video-guide-tab</w:t>
      </w: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p w:rsid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sz w:val="24"/>
          <w:szCs w:val="24"/>
        </w:rPr>
      </w:pPr>
    </w:p>
    <w:bookmarkEnd w:id="0"/>
    <w:p w:rsidR="00B462BB" w:rsidRPr="00B462BB" w:rsidRDefault="00B462BB" w:rsidP="00B462BB">
      <w:pPr>
        <w:pStyle w:val="Heading1"/>
        <w:pBdr>
          <w:bottom w:val="single" w:sz="6" w:space="31" w:color="DDDDDD"/>
        </w:pBdr>
        <w:spacing w:before="0" w:beforeAutospacing="0" w:after="150" w:afterAutospacing="0"/>
        <w:rPr>
          <w:b w:val="0"/>
          <w:i/>
          <w:sz w:val="24"/>
          <w:szCs w:val="24"/>
        </w:rPr>
      </w:pPr>
    </w:p>
    <w:sectPr w:rsidR="00B462BB" w:rsidRPr="00B46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6D"/>
    <w:rsid w:val="00055AF9"/>
    <w:rsid w:val="00105F69"/>
    <w:rsid w:val="00246E5C"/>
    <w:rsid w:val="0026140C"/>
    <w:rsid w:val="00282D8A"/>
    <w:rsid w:val="008574B7"/>
    <w:rsid w:val="0088294E"/>
    <w:rsid w:val="008A5EDE"/>
    <w:rsid w:val="00B462BB"/>
    <w:rsid w:val="00CA6B09"/>
    <w:rsid w:val="00D1400D"/>
    <w:rsid w:val="00D96F5A"/>
    <w:rsid w:val="00E83868"/>
    <w:rsid w:val="00ED236D"/>
    <w:rsid w:val="00EF277D"/>
    <w:rsid w:val="00EF31DD"/>
    <w:rsid w:val="00F51FC1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236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36D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D236D"/>
  </w:style>
  <w:style w:type="character" w:styleId="Hyperlink">
    <w:name w:val="Hyperlink"/>
    <w:basedOn w:val="DefaultParagraphFont"/>
    <w:uiPriority w:val="99"/>
    <w:unhideWhenUsed/>
    <w:rsid w:val="00ED236D"/>
    <w:rPr>
      <w:color w:val="0000FF"/>
      <w:u w:val="single"/>
    </w:rPr>
  </w:style>
  <w:style w:type="character" w:customStyle="1" w:styleId="j-title-breadcrumb">
    <w:name w:val="j-title-breadcrumb"/>
    <w:basedOn w:val="DefaultParagraphFont"/>
    <w:rsid w:val="00261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236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36D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D236D"/>
  </w:style>
  <w:style w:type="character" w:styleId="Hyperlink">
    <w:name w:val="Hyperlink"/>
    <w:basedOn w:val="DefaultParagraphFont"/>
    <w:uiPriority w:val="99"/>
    <w:unhideWhenUsed/>
    <w:rsid w:val="00ED236D"/>
    <w:rPr>
      <w:color w:val="0000FF"/>
      <w:u w:val="single"/>
    </w:rPr>
  </w:style>
  <w:style w:type="character" w:customStyle="1" w:styleId="j-title-breadcrumb">
    <w:name w:val="j-title-breadcrumb"/>
    <w:basedOn w:val="DefaultParagraphFont"/>
    <w:rsid w:val="0026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Bosio</dc:creator>
  <cp:keywords/>
  <dc:description/>
  <cp:lastModifiedBy>Agustina Bosio</cp:lastModifiedBy>
  <cp:revision>5</cp:revision>
  <dcterms:created xsi:type="dcterms:W3CDTF">2017-01-09T21:13:00Z</dcterms:created>
  <dcterms:modified xsi:type="dcterms:W3CDTF">2017-01-11T04:26:00Z</dcterms:modified>
</cp:coreProperties>
</file>